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Theme="majorHAnsi" w:hAnsiTheme="majorHAnsi"/>
          <w:highlight w:val="none"/>
          <w:shd w:fill="FFFFFF" w:val="clear"/>
        </w:rPr>
      </w:pPr>
      <w:r>
        <w:rPr>
          <w:rFonts w:asciiTheme="majorHAnsi" w:hAnsiTheme="majorHAnsi" w:ascii="Calibri Light" w:hAnsi="Calibri Light"/>
          <w:b/>
          <w:bCs/>
          <w:color w:val="000000"/>
          <w:sz w:val="24"/>
          <w:szCs w:val="24"/>
          <w:shd w:fill="FFFFFF" w:val="clear"/>
        </w:rPr>
        <w:t>ANEXO IX</w:t>
      </w:r>
    </w:p>
    <w:p>
      <w:pPr>
        <w:pStyle w:val="Normal"/>
        <w:jc w:val="center"/>
        <w:rPr>
          <w:b/>
          <w:b/>
          <w:bCs/>
          <w:color w:val="000000"/>
          <w:sz w:val="24"/>
          <w:szCs w:val="24"/>
        </w:rPr>
      </w:pPr>
      <w:r>
        <w:rPr>
          <w:rFonts w:ascii="Calibri Light" w:hAnsi="Calibri Light" w:asciiTheme="majorHAnsi" w:hAnsiTheme="majorHAnsi"/>
          <w:b/>
          <w:bCs/>
          <w:color w:val="000000"/>
          <w:sz w:val="24"/>
          <w:szCs w:val="24"/>
        </w:rPr>
        <w:t xml:space="preserve">MAPA DE RISCOS – PREGÃO ELETRÔNICO </w:t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67"/>
        <w:gridCol w:w="638"/>
        <w:gridCol w:w="70"/>
        <w:gridCol w:w="497"/>
        <w:gridCol w:w="1985"/>
        <w:gridCol w:w="1844"/>
        <w:gridCol w:w="1692"/>
      </w:tblGrid>
      <w:tr>
        <w:trPr/>
        <w:tc>
          <w:tcPr>
            <w:tcW w:w="1767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Fase de análise: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  <w:tc>
          <w:tcPr>
            <w:tcW w:w="708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X</w:t>
            </w:r>
          </w:p>
        </w:tc>
        <w:tc>
          <w:tcPr>
            <w:tcW w:w="6018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bookmarkStart w:id="0" w:name="_GoBack"/>
            <w:bookmarkEnd w:id="0"/>
            <w:r>
              <w:rPr>
                <w:rFonts w:ascii="Calibri Light" w:hAnsi="Calibri Light" w:asciiTheme="majorHAnsi" w:hAnsiTheme="majorHAnsi"/>
                <w:kern w:val="0"/>
              </w:rPr>
              <w:t>Planejamento da contratação e seleção do fornecedor</w:t>
            </w:r>
          </w:p>
        </w:tc>
      </w:tr>
      <w:tr>
        <w:trPr/>
        <w:tc>
          <w:tcPr>
            <w:tcW w:w="176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  <w:tc>
          <w:tcPr>
            <w:tcW w:w="708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  <w:tc>
          <w:tcPr>
            <w:tcW w:w="6018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Execução</w:t>
            </w:r>
          </w:p>
        </w:tc>
      </w:tr>
      <w:tr>
        <w:trPr/>
        <w:tc>
          <w:tcPr>
            <w:tcW w:w="849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>RISCO 01 – Licitação e/ou contratação realizada sem planejamento</w:t>
            </w:r>
          </w:p>
        </w:tc>
      </w:tr>
      <w:tr>
        <w:trPr/>
        <w:tc>
          <w:tcPr>
            <w:tcW w:w="849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x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ALTA (3)</w:t>
            </w:r>
          </w:p>
        </w:tc>
      </w:tr>
      <w:tr>
        <w:trPr/>
        <w:tc>
          <w:tcPr>
            <w:tcW w:w="2972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x  )  ALTO (3)</w:t>
            </w:r>
          </w:p>
        </w:tc>
      </w:tr>
      <w:tr>
        <w:trPr/>
        <w:tc>
          <w:tcPr>
            <w:tcW w:w="849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8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Realizar o planejamento da contratação</w:t>
            </w:r>
          </w:p>
        </w:tc>
      </w:tr>
      <w:tr>
        <w:trPr/>
        <w:tc>
          <w:tcPr>
            <w:tcW w:w="240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8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Equipe de planejamento, Fiscalização Administrativa,  SALC e Setores requisitantes</w:t>
            </w:r>
          </w:p>
        </w:tc>
      </w:tr>
      <w:tr>
        <w:trPr/>
        <w:tc>
          <w:tcPr>
            <w:tcW w:w="8493" w:type="dxa"/>
            <w:gridSpan w:val="7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8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Reanálise dos documentos recebidos, conferência do laudo de avaliação e outros documentos inerente ao objeto.</w:t>
            </w:r>
          </w:p>
        </w:tc>
      </w:tr>
      <w:tr>
        <w:trPr/>
        <w:tc>
          <w:tcPr>
            <w:tcW w:w="240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88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 xml:space="preserve">Fiscalização Administrativa 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2"/>
        <w:gridCol w:w="570"/>
        <w:gridCol w:w="1985"/>
        <w:gridCol w:w="1844"/>
        <w:gridCol w:w="1692"/>
      </w:tblGrid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  <w:highlight w:val="lightGray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 xml:space="preserve">RISCO 02 – Ausência de pesquisa de preços no processo e/ou pesquisas que não refletem os preços de mercados 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X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)  ALTA (3)</w:t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)  ALTO (3)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Solicitar laudo de avaliação, conforme a legislação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Setor Requisitante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Avaliar o laudo de avaliação de preços.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2"/>
        <w:gridCol w:w="570"/>
        <w:gridCol w:w="1985"/>
        <w:gridCol w:w="1844"/>
        <w:gridCol w:w="1692"/>
      </w:tblGrid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  <w:highlight w:val="lightGray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>RISCO 03 – Licitantes que baixam muito os preços durante a fase de lances com risco de não cumprimento do contrato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ALTA (3)</w:t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ALTO (3)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Incluir nos editais dispositivos que atendem para inibir a inexequibilidade da proposta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O pregoeira fará diligências para fins de seja comprovada pelo licitante a exequibilidade da proposta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Pregoeiro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2"/>
        <w:gridCol w:w="570"/>
        <w:gridCol w:w="1985"/>
        <w:gridCol w:w="1844"/>
        <w:gridCol w:w="1692"/>
      </w:tblGrid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>RISCO 04 – Itens desertos ou cancelados na licitação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x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ALTA (3)</w:t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ALTO (3)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Consultar dos códigos corretos no CATMAT e CATSERV do Comprasnet, bem como a correta análise da pesquisa de preços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Incluir em outro processo com os códicos e descrição correta, fazer nova avaliação de preços para fins de aferir o real preço de mercado.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2"/>
        <w:gridCol w:w="570"/>
        <w:gridCol w:w="1985"/>
        <w:gridCol w:w="1844"/>
        <w:gridCol w:w="1692"/>
      </w:tblGrid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  <w:highlight w:val="lightGray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 xml:space="preserve">RISCO 05 – Não utilizar os modelos de editais disponibilizados pela CJU/AGU 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ALTA (3)</w:t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ALTO (3)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Utilizar os modelos disponibilizados pela CJU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Adequar o processo aos modelos disponibilizados pela CJU/AGU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2"/>
        <w:gridCol w:w="570"/>
        <w:gridCol w:w="1985"/>
        <w:gridCol w:w="1844"/>
        <w:gridCol w:w="1692"/>
      </w:tblGrid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  <w:highlight w:val="lightGray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>RISCO 06 – Deixar de divulgar o aviso de licitação e o resultado de julgamento da licitação no DOU e em Jornal de grande circulação, quando necessário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x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ALTA (3)</w:t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ALTO (3)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Publicar o aviso de licitação e o resultado de julgamento, quando necessário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Publicar os atos no DOU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2"/>
        <w:gridCol w:w="570"/>
        <w:gridCol w:w="1985"/>
        <w:gridCol w:w="1844"/>
        <w:gridCol w:w="1692"/>
      </w:tblGrid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 xml:space="preserve">RISCO 07 – </w:t>
            </w:r>
            <w:r>
              <w:rPr>
                <w:rFonts w:cs="Arial" w:ascii="Calibri Light" w:hAnsi="Calibri Light" w:asciiTheme="majorHAnsi" w:hAnsiTheme="majorHAnsi"/>
                <w:kern w:val="0"/>
                <w:highlight w:val="lightGray"/>
              </w:rPr>
              <w:t>Não descrever adequadamente o objeto da aquisição na requisição.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ALTA (3)</w:t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x  )  ALTO (3)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Na fase de planejamento consultar os códicos e descrição do objeto no CATMAT e CATSERV do Comprasnet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Equipe de planejamento e Setor requisitante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Incluir em outro processo licitatório com a descrição correta que atenderá a real necessidade do órgão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Pregoeiro</w:t>
            </w:r>
          </w:p>
        </w:tc>
      </w:tr>
    </w:tbl>
    <w:p>
      <w:pPr>
        <w:pStyle w:val="Normal"/>
        <w:rPr/>
      </w:pPr>
      <w:r>
        <w:rPr/>
      </w:r>
    </w:p>
    <w:tbl>
      <w:tblPr>
        <w:tblStyle w:val="Tabelacomgrade"/>
        <w:tblW w:w="8494" w:type="dxa"/>
        <w:jc w:val="left"/>
        <w:tblInd w:w="-25" w:type="dxa"/>
        <w:tblLayout w:type="fixed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2"/>
        <w:gridCol w:w="570"/>
        <w:gridCol w:w="1985"/>
        <w:gridCol w:w="1844"/>
        <w:gridCol w:w="1692"/>
      </w:tblGrid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  <w:highlight w:val="lightGray"/>
              </w:rPr>
            </w:pPr>
            <w:r>
              <w:rPr>
                <w:rFonts w:cs="Arial" w:ascii="Calibri Light" w:hAnsi="Calibri Light" w:asciiTheme="majorHAnsi" w:hAnsiTheme="majorHAnsi"/>
                <w:kern w:val="0"/>
                <w:sz w:val="28"/>
                <w:szCs w:val="28"/>
                <w:highlight w:val="lightGray"/>
              </w:rPr>
              <w:t>RISCO 08 – Licitar ou contratar sem a devida análise e aprovação do processo pela CJU/AGU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Probabilidade de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x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MÉDIA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)  ALTA (3)</w:t>
            </w:r>
          </w:p>
        </w:tc>
      </w:tr>
      <w:tr>
        <w:trPr/>
        <w:tc>
          <w:tcPr>
            <w:tcW w:w="297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29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Impacto se ocorrer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BAIXA (1)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      )  MÉDIO (2)</w:t>
            </w:r>
          </w:p>
        </w:tc>
        <w:tc>
          <w:tcPr>
            <w:tcW w:w="1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(  x   )  ALTO (3)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Theme="majorHAnsi" w:hAnsiTheme="majorHAnsi" w:ascii="Calibri Light" w:hAnsi="Calibri Light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preventiva*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Enviar os processos para análise pela CJU/AGU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  <w:tr>
        <w:trPr/>
        <w:tc>
          <w:tcPr>
            <w:tcW w:w="8493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kern w:val="0"/>
              </w:rPr>
            </w:pPr>
            <w:r>
              <w:rPr>
                <w:kern w:val="0"/>
              </w:rPr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Ação de contingência**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Não licitar e/ou contratar sem a devida aprovação da CJU/AGU</w:t>
            </w:r>
          </w:p>
        </w:tc>
      </w:tr>
      <w:tr>
        <w:trPr/>
        <w:tc>
          <w:tcPr>
            <w:tcW w:w="240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Unidade responsável</w:t>
            </w:r>
          </w:p>
        </w:tc>
        <w:tc>
          <w:tcPr>
            <w:tcW w:w="6091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Calibri Light" w:hAnsi="Calibri Light" w:asciiTheme="majorHAnsi" w:hAnsiTheme="majorHAnsi"/>
              </w:rPr>
            </w:pPr>
            <w:r>
              <w:rPr>
                <w:rFonts w:ascii="Calibri Light" w:hAnsi="Calibri Light" w:asciiTheme="majorHAnsi" w:hAnsiTheme="majorHAnsi"/>
                <w:kern w:val="0"/>
              </w:rPr>
              <w:t>SALC e pregoeiro</w:t>
            </w:r>
          </w:p>
        </w:tc>
      </w:tr>
    </w:tbl>
    <w:p>
      <w:pPr>
        <w:pStyle w:val="Normal"/>
        <w:spacing w:lineRule="auto" w:line="240" w:before="0" w:after="0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8"/>
          <w:szCs w:val="28"/>
        </w:rPr>
      </w:pPr>
      <w:r>
        <w:rPr>
          <w:rFonts w:cs="Arial" w:ascii="Calibri Light" w:hAnsi="Calibri Light"/>
          <w:sz w:val="24"/>
          <w:szCs w:val="24"/>
        </w:rPr>
        <w:t>*O que fazer para evitar que o risco se torne realidade</w:t>
      </w:r>
    </w:p>
    <w:p>
      <w:pPr>
        <w:pStyle w:val="Normal"/>
        <w:spacing w:lineRule="auto" w:line="240" w:before="0" w:after="0"/>
        <w:rPr>
          <w:rFonts w:ascii="Calibri Light" w:hAnsi="Calibri Light"/>
          <w:sz w:val="24"/>
          <w:szCs w:val="24"/>
        </w:rPr>
      </w:pPr>
      <w:r>
        <w:rPr>
          <w:rFonts w:cs="Arial" w:ascii="Calibri Light" w:hAnsi="Calibri Light"/>
          <w:sz w:val="24"/>
          <w:szCs w:val="24"/>
        </w:rPr>
        <w:t>**O que fazer para minimizar os danos, se a situação de risco vier a ocorrer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</w:r>
    </w:p>
    <w:p>
      <w:pPr>
        <w:pStyle w:val="Normal"/>
        <w:spacing w:lineRule="auto" w:line="240" w:before="0" w:after="0"/>
        <w:jc w:val="center"/>
        <w:rPr>
          <w:rFonts w:ascii="Calibri Light" w:hAnsi="Calibri Light"/>
          <w:bCs/>
        </w:rPr>
      </w:pPr>
      <w:r>
        <w:rPr>
          <w:rFonts w:ascii="Calibri Light" w:hAnsi="Calibri Light"/>
          <w:bCs/>
        </w:rPr>
        <w:t xml:space="preserve">DANIEL DE FREITAS DA SILVA – </w:t>
      </w:r>
      <w:r>
        <w:rPr>
          <w:rFonts w:ascii="Calibri Light" w:hAnsi="Calibri Light"/>
          <w:bCs/>
          <w:sz w:val="24"/>
        </w:rPr>
        <w:t>2º SGT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Calibri Light" w:hAnsi="Calibri Light"/>
          <w:sz w:val="24"/>
        </w:rPr>
        <w:t>AUXILIAR DA SALC</w:t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135b6a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Contedodatabela" w:customStyle="1">
    <w:name w:val="Conteúdo da tabela"/>
    <w:basedOn w:val="Normal"/>
    <w:qFormat/>
    <w:pPr/>
    <w:rPr/>
  </w:style>
  <w:style w:type="paragraph" w:styleId="Ttulodetabela" w:customStyle="1">
    <w:name w:val="Título de tabela"/>
    <w:basedOn w:val="Contedodatabela"/>
    <w:qFormat/>
    <w:pPr/>
    <w:rPr/>
  </w:style>
  <w:style w:type="paragraph" w:styleId="NormalWeb">
    <w:name w:val="Normal (Web)"/>
    <w:basedOn w:val="Normal"/>
    <w:uiPriority w:val="99"/>
    <w:semiHidden/>
    <w:unhideWhenUsed/>
    <w:qFormat/>
    <w:rsid w:val="00135b6a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t-BR"/>
    </w:rPr>
  </w:style>
  <w:style w:type="paragraph" w:styleId="Textocentralizado" w:customStyle="1">
    <w:name w:val="texto_centralizado"/>
    <w:basedOn w:val="Normal"/>
    <w:qFormat/>
    <w:rsid w:val="00135b6a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t-BR"/>
    </w:rPr>
  </w:style>
  <w:style w:type="paragraph" w:styleId="Textoalinhadoesquerda" w:customStyle="1">
    <w:name w:val="texto_alinhado_esquerda"/>
    <w:basedOn w:val="Normal"/>
    <w:qFormat/>
    <w:rsid w:val="00135b6a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t-BR"/>
    </w:rPr>
  </w:style>
  <w:style w:type="paragraph" w:styleId="Tabelatextocentralizado" w:customStyle="1">
    <w:name w:val="tabela_texto_centralizado"/>
    <w:basedOn w:val="Normal"/>
    <w:qFormat/>
    <w:rsid w:val="00135b6a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46784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19EA9-CE7A-469E-B32E-663A2D21E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Application>LibreOffice/7.4.0.3$Windows_X86_64 LibreOffice_project/f85e47c08ddd19c015c0114a68350214f7066f5a</Application>
  <AppVersion>15.0000</AppVersion>
  <Pages>3</Pages>
  <Words>734</Words>
  <Characters>3534</Characters>
  <CharactersWithSpaces>4469</CharactersWithSpaces>
  <Paragraphs>146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2020-01-28T19:31:00Z</dcterms:created>
  <dc:creator>Usuário do Windows</dc:creator>
  <dc:description/>
  <dc:language>pt-BR</dc:language>
  <cp:lastModifiedBy/>
  <cp:lastPrinted>2020-07-24T09:41:08Z</cp:lastPrinted>
  <dcterms:modified xsi:type="dcterms:W3CDTF">2023-08-08T09:41:26Z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